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8E981" w14:textId="77777777" w:rsidR="00120F97" w:rsidRPr="00120F97" w:rsidRDefault="00120F97" w:rsidP="00120F97">
      <w:pPr>
        <w:rPr>
          <w:b/>
          <w:bCs/>
        </w:rPr>
      </w:pPr>
    </w:p>
    <w:p w14:paraId="4592C025" w14:textId="77777777" w:rsidR="00120F97" w:rsidRPr="00120F97" w:rsidRDefault="00120F97" w:rsidP="00120F97">
      <w:pPr>
        <w:rPr>
          <w:b/>
          <w:bCs/>
          <w:u w:val="single"/>
          <w:lang w:val="en-US"/>
        </w:rPr>
      </w:pPr>
      <w:r w:rsidRPr="00120F97">
        <w:rPr>
          <w:b/>
          <w:bCs/>
          <w:u w:val="single"/>
          <w:lang w:val="en-US"/>
        </w:rPr>
        <w:t>Auditors Selection Norms &amp; Guidelines to Auditors for Cyber Audit</w:t>
      </w:r>
    </w:p>
    <w:p w14:paraId="29E233D1" w14:textId="77777777" w:rsidR="00120F97" w:rsidRPr="00120F97" w:rsidRDefault="00120F97" w:rsidP="00120F97">
      <w:pPr>
        <w:rPr>
          <w:b/>
          <w:bCs/>
          <w:u w:val="single"/>
          <w:lang w:val="en-US"/>
        </w:rPr>
      </w:pPr>
    </w:p>
    <w:p w14:paraId="65EAB3BD" w14:textId="77777777" w:rsidR="00120F97" w:rsidRPr="00120F97" w:rsidRDefault="00120F97" w:rsidP="00120F97">
      <w:pPr>
        <w:rPr>
          <w:b/>
          <w:bCs/>
          <w:lang w:val="en-US"/>
        </w:rPr>
      </w:pPr>
      <w:r w:rsidRPr="00120F97">
        <w:rPr>
          <w:b/>
          <w:bCs/>
          <w:lang w:val="en-US"/>
        </w:rPr>
        <w:t>1. Auditor Selection Norms</w:t>
      </w:r>
    </w:p>
    <w:p w14:paraId="77FE3931" w14:textId="77777777" w:rsidR="00120F97" w:rsidRPr="00120F97" w:rsidRDefault="00120F97" w:rsidP="00120F97">
      <w:pPr>
        <w:rPr>
          <w:lang w:val="en-US"/>
        </w:rPr>
      </w:pPr>
      <w:r w:rsidRPr="00120F97">
        <w:rPr>
          <w:lang w:val="en-US"/>
        </w:rPr>
        <w:t xml:space="preserve">a. Auditing Organization/Entity must mandatorily be CERT-In empaneled </w:t>
      </w:r>
    </w:p>
    <w:p w14:paraId="6EE4FD57" w14:textId="77777777" w:rsidR="00120F97" w:rsidRPr="00120F97" w:rsidRDefault="00120F97" w:rsidP="00120F97">
      <w:pPr>
        <w:rPr>
          <w:lang w:val="en-US"/>
        </w:rPr>
      </w:pPr>
      <w:r w:rsidRPr="00120F97">
        <w:rPr>
          <w:lang w:val="en-US"/>
        </w:rPr>
        <w:t>b. Auditor of Auditing Organization/Entity must preferably have a minimum of 3 years of experience in IT audit of Banking and Financial services preferably in the Securities Market. E.g. Stock exchanges, clearing houses, depositories, stockbrokers, depository participants, mutual funds, etc. The audit experience should have covered all the major areas mentioned under various cybersecurity frameworks and guidelines issued by SEBI from time to time. Auditing experience of the Cybersecurity Framework under ISO 27001 for an organization will be an added advantage.</w:t>
      </w:r>
    </w:p>
    <w:p w14:paraId="61D7EC36" w14:textId="77777777" w:rsidR="00120F97" w:rsidRPr="00120F97" w:rsidRDefault="00120F97" w:rsidP="00120F97">
      <w:pPr>
        <w:rPr>
          <w:lang w:val="en-US"/>
        </w:rPr>
      </w:pPr>
      <w:r w:rsidRPr="00120F97">
        <w:rPr>
          <w:lang w:val="en-US"/>
        </w:rPr>
        <w:t>c. The Auditor of Auditing Organization/Entity must have experience in/ direct access to experienced resources in the areas covered under CSCRF. It is recommended that resources employed shall have relevant industry recognized certifications e.g. CISA (Certified information Systems Auditor) from ISACA, CISM (Certified Information Securities Manager) from ISACA, GSNA (GIAC Systems and Network Auditor), CISSP (Certified Information Systems Security professional) from International Information systems Security Certification Consortium, commonly known as (ISC)2.</w:t>
      </w:r>
    </w:p>
    <w:p w14:paraId="338DCC54" w14:textId="77777777" w:rsidR="00120F97" w:rsidRPr="00120F97" w:rsidRDefault="00120F97" w:rsidP="00120F97">
      <w:pPr>
        <w:rPr>
          <w:lang w:val="en-US"/>
        </w:rPr>
      </w:pPr>
      <w:r w:rsidRPr="00120F97">
        <w:rPr>
          <w:lang w:val="en-US"/>
        </w:rPr>
        <w:t>d. The Auditor of Auditing Organization/Entity shall have ISMS/ IT audit/ governance frameworks and processes conforming to leading industry practices like COBIT.</w:t>
      </w:r>
    </w:p>
    <w:p w14:paraId="61E47DE4" w14:textId="77777777" w:rsidR="00120F97" w:rsidRPr="00120F97" w:rsidRDefault="00120F97" w:rsidP="00120F97">
      <w:pPr>
        <w:rPr>
          <w:lang w:val="en-US"/>
        </w:rPr>
      </w:pPr>
      <w:r w:rsidRPr="00120F97">
        <w:rPr>
          <w:lang w:val="en-US"/>
        </w:rPr>
        <w:t>e. The Auditor &amp; Auditing Organization/Entity must not have any conflict of interest in conducting fair, objective and independent audit of the REs. It shall not have been engaged over the last two years in any consulting engagement with any departments/ units of the RE being audited.</w:t>
      </w:r>
    </w:p>
    <w:p w14:paraId="15BE89B1" w14:textId="77777777" w:rsidR="00120F97" w:rsidRPr="00120F97" w:rsidRDefault="00120F97" w:rsidP="00120F97">
      <w:pPr>
        <w:rPr>
          <w:lang w:val="en-US"/>
        </w:rPr>
      </w:pPr>
      <w:r w:rsidRPr="00120F97">
        <w:rPr>
          <w:lang w:val="en-US"/>
        </w:rPr>
        <w:t>f. The Auditor &amp; Auditing Organization/Entity may not have any cases pending against its previous auditees, which fall under SEBI’s Jurisdiction, which point to its incompetence and/or unsuitability to perform the audit task.</w:t>
      </w:r>
    </w:p>
    <w:p w14:paraId="49B51A6D" w14:textId="77777777" w:rsidR="00120F97" w:rsidRPr="00120F97" w:rsidRDefault="00120F97" w:rsidP="00120F97">
      <w:pPr>
        <w:rPr>
          <w:lang w:val="en-US"/>
        </w:rPr>
      </w:pPr>
      <w:r w:rsidRPr="00120F97">
        <w:rPr>
          <w:lang w:val="en-US"/>
        </w:rPr>
        <w:t>g. The auditor of Auditing Organization/Entity must compulsorily use only licensed tools.</w:t>
      </w:r>
    </w:p>
    <w:p w14:paraId="43C39A3E" w14:textId="77777777" w:rsidR="00120F97" w:rsidRPr="00120F97" w:rsidRDefault="00120F97" w:rsidP="00120F97">
      <w:pPr>
        <w:rPr>
          <w:lang w:val="en-US"/>
        </w:rPr>
      </w:pPr>
      <w:r w:rsidRPr="00120F97">
        <w:rPr>
          <w:lang w:val="en-US"/>
        </w:rPr>
        <w:t>h. The Auditing Organization/Entity must compulsorily enter into a Non-disclosure Agreement (NDA) with the auditee. Under no circumstances, the data sought during the review or the audit report subsequently should leave the jurisdiction of India.</w:t>
      </w:r>
    </w:p>
    <w:p w14:paraId="420123C6" w14:textId="77777777" w:rsidR="00120F97" w:rsidRDefault="00120F97" w:rsidP="00120F97">
      <w:pPr>
        <w:rPr>
          <w:b/>
          <w:bCs/>
          <w:lang w:val="en-US"/>
        </w:rPr>
      </w:pPr>
    </w:p>
    <w:p w14:paraId="0227ECE8" w14:textId="77777777" w:rsidR="008C51B2" w:rsidRPr="00120F97" w:rsidRDefault="008C51B2" w:rsidP="00120F97">
      <w:pPr>
        <w:rPr>
          <w:b/>
          <w:bCs/>
          <w:lang w:val="en-US"/>
        </w:rPr>
      </w:pPr>
    </w:p>
    <w:p w14:paraId="40C6484F" w14:textId="77777777" w:rsidR="00120F97" w:rsidRPr="00120F97" w:rsidRDefault="00120F97" w:rsidP="00120F97">
      <w:pPr>
        <w:rPr>
          <w:b/>
          <w:bCs/>
          <w:lang w:val="en-US"/>
        </w:rPr>
      </w:pPr>
      <w:r w:rsidRPr="00120F97">
        <w:rPr>
          <w:b/>
          <w:bCs/>
          <w:lang w:val="en-US"/>
        </w:rPr>
        <w:lastRenderedPageBreak/>
        <w:t xml:space="preserve">2. Guidelines to Auditors </w:t>
      </w:r>
    </w:p>
    <w:p w14:paraId="11D0CF53" w14:textId="77777777" w:rsidR="00120F97" w:rsidRPr="00120F97" w:rsidRDefault="00120F97" w:rsidP="00120F97">
      <w:r w:rsidRPr="00120F97">
        <w:t xml:space="preserve">To conduct the cyber audit as per the provisions of CSCRF, following are the guidelines to be adhered to: </w:t>
      </w:r>
    </w:p>
    <w:p w14:paraId="12AE67B7" w14:textId="77777777" w:rsidR="00120F97" w:rsidRPr="00120F97" w:rsidRDefault="00120F97" w:rsidP="00120F97">
      <w:r w:rsidRPr="00120F97">
        <w:t xml:space="preserve">a. RE shall ensure that NDA is signed between the RE and </w:t>
      </w:r>
      <w:r w:rsidRPr="00120F97">
        <w:rPr>
          <w:lang w:val="en-US"/>
        </w:rPr>
        <w:t>Auditing Organization/Entity prior</w:t>
      </w:r>
      <w:r w:rsidRPr="00120F97">
        <w:t xml:space="preserve"> to initiation of the cyber audit. </w:t>
      </w:r>
    </w:p>
    <w:p w14:paraId="47CD92AC" w14:textId="77777777" w:rsidR="00120F97" w:rsidRPr="00120F97" w:rsidRDefault="00120F97" w:rsidP="00120F97">
      <w:r w:rsidRPr="00120F97">
        <w:t xml:space="preserve">b. All audit reports shall be submitted strictly as per the format provided in CSCRF. </w:t>
      </w:r>
    </w:p>
    <w:p w14:paraId="3480BD5B" w14:textId="77777777" w:rsidR="00120F97" w:rsidRPr="00120F97" w:rsidRDefault="00120F97" w:rsidP="00120F97">
      <w:r w:rsidRPr="00120F97">
        <w:t xml:space="preserve">c. The coverage of the audit shall be as follows: </w:t>
      </w:r>
    </w:p>
    <w:p w14:paraId="49ED22FA" w14:textId="77777777" w:rsidR="00120F97" w:rsidRPr="00120F97" w:rsidRDefault="00120F97" w:rsidP="00120F97">
      <w:proofErr w:type="spellStart"/>
      <w:r w:rsidRPr="00120F97">
        <w:t>i</w:t>
      </w:r>
      <w:proofErr w:type="spellEnd"/>
      <w:r w:rsidRPr="00120F97">
        <w:t xml:space="preserve">. REs which have been declared as CIIs by NCIIPC shall follow the guidelines/ circulars issued by NCIIPC for selecting sample size for critical/ non-critical assets. </w:t>
      </w:r>
    </w:p>
    <w:p w14:paraId="29639F46" w14:textId="77777777" w:rsidR="00120F97" w:rsidRPr="00120F97" w:rsidRDefault="00120F97" w:rsidP="00120F97">
      <w:r w:rsidRPr="00120F97">
        <w:t xml:space="preserve">ii. Rest of the REs shall take the sample size as mentioned in ‘CSCRF Compliance, Audit Report’. </w:t>
      </w:r>
    </w:p>
    <w:p w14:paraId="6DE1FAB9" w14:textId="77777777" w:rsidR="00120F97" w:rsidRPr="00120F97" w:rsidRDefault="00120F97" w:rsidP="00120F97">
      <w:r w:rsidRPr="00120F97">
        <w:t xml:space="preserve">iii. RE shall ensure that 100% of their </w:t>
      </w:r>
      <w:r w:rsidRPr="00120F97">
        <w:rPr>
          <w:i/>
          <w:iCs/>
        </w:rPr>
        <w:t xml:space="preserve">critical systems </w:t>
      </w:r>
      <w:r w:rsidRPr="00120F97">
        <w:t xml:space="preserve">should get covered under cyber audit. Further, RE shall ensure that for 25% of non-critical systems, sample size and sampling method should be mentioned explicitly in the audit report with the rationale of checking it on sample basis and the chosen sample size. </w:t>
      </w:r>
    </w:p>
    <w:p w14:paraId="115C7130" w14:textId="77777777" w:rsidR="00120F97" w:rsidRPr="00120F97" w:rsidRDefault="00120F97" w:rsidP="00120F97">
      <w:r w:rsidRPr="00120F97">
        <w:t xml:space="preserve">iv. As part of audit of the RE, the auditor of </w:t>
      </w:r>
      <w:r w:rsidRPr="00120F97">
        <w:rPr>
          <w:lang w:val="en-US"/>
        </w:rPr>
        <w:t>Auditing Organization/Entity</w:t>
      </w:r>
      <w:r w:rsidRPr="00120F97">
        <w:t xml:space="preserve"> shall verify, and certify, whether there is a clear delineation/ demarcation of roles and responsibilities between the RE and Hosted service provider (as given in definitions section). The auditor of </w:t>
      </w:r>
      <w:r w:rsidRPr="00120F97">
        <w:rPr>
          <w:lang w:val="en-US"/>
        </w:rPr>
        <w:t>Auditing Organization/Entity</w:t>
      </w:r>
      <w:r w:rsidRPr="00120F97">
        <w:t xml:space="preserve"> shall also verify, and certify, whether the above-mentioned demarcations of roles and responsibilities have been incorporated in the agreement/ contract signed between the RE and Hosted service provider. </w:t>
      </w:r>
    </w:p>
    <w:p w14:paraId="226EFA28" w14:textId="77777777" w:rsidR="00120F97" w:rsidRPr="00120F97" w:rsidRDefault="00120F97" w:rsidP="00120F97">
      <w:r w:rsidRPr="00120F97">
        <w:t xml:space="preserve">d. The auditors of </w:t>
      </w:r>
      <w:r w:rsidRPr="00120F97">
        <w:rPr>
          <w:lang w:val="en-US"/>
        </w:rPr>
        <w:t>Auditing Organization/Entity</w:t>
      </w:r>
      <w:r w:rsidRPr="00120F97">
        <w:t xml:space="preserve"> shall also validate the adherence to the timelines as stated in “</w:t>
      </w:r>
      <w:r w:rsidRPr="00120F97">
        <w:rPr>
          <w:i/>
          <w:iCs/>
        </w:rPr>
        <w:t>Section 4: CSCRF Compliance, Audit Report Submission, and Timelines”</w:t>
      </w:r>
      <w:r w:rsidRPr="00120F97">
        <w:t xml:space="preserve"> of CSCRF. </w:t>
      </w:r>
    </w:p>
    <w:p w14:paraId="167FA175" w14:textId="77777777" w:rsidR="00120F97" w:rsidRPr="00120F97" w:rsidRDefault="00120F97" w:rsidP="00120F97">
      <w:r w:rsidRPr="00120F97">
        <w:t xml:space="preserve">e. For mandatory guidelines, auditor of </w:t>
      </w:r>
      <w:r w:rsidRPr="00120F97">
        <w:rPr>
          <w:lang w:val="en-US"/>
        </w:rPr>
        <w:t>Auditing Organization/Entity</w:t>
      </w:r>
      <w:r w:rsidRPr="00120F97">
        <w:t xml:space="preserve"> shall verify whether guidelines have been implemented as mentioned in the CSCRF. If there are any variations, auditors shall mention the same with relevant evidence in their report. </w:t>
      </w:r>
    </w:p>
    <w:p w14:paraId="3961BF93" w14:textId="77777777" w:rsidR="00120F97" w:rsidRPr="00120F97" w:rsidRDefault="00120F97" w:rsidP="00120F97">
      <w:r w:rsidRPr="00120F97">
        <w:t xml:space="preserve">f. For non-mandatory guidelines, auditors shall verify that whether REs have implemented equivalent controls or higher. If the implemented measures are not lower/ weaker than the stated guidelines, auditors of </w:t>
      </w:r>
      <w:r w:rsidRPr="00120F97">
        <w:rPr>
          <w:lang w:val="en-US"/>
        </w:rPr>
        <w:t>Auditing Organization/Entity</w:t>
      </w:r>
      <w:r w:rsidRPr="00120F97">
        <w:t xml:space="preserve"> shall mention the same with proper evidence in their report. </w:t>
      </w:r>
    </w:p>
    <w:p w14:paraId="75FF3B79" w14:textId="77777777" w:rsidR="00120F97" w:rsidRPr="00120F97" w:rsidRDefault="00120F97" w:rsidP="00120F97">
      <w:r w:rsidRPr="00120F97">
        <w:t xml:space="preserve">g. For standards where no guidelines are mentioned, auditors shall verify that REs have implemented the industry best practices. </w:t>
      </w:r>
    </w:p>
    <w:p w14:paraId="5B997F53" w14:textId="77777777" w:rsidR="00120F97" w:rsidRPr="00120F97" w:rsidRDefault="00120F97" w:rsidP="00120F97">
      <w:r w:rsidRPr="00120F97">
        <w:lastRenderedPageBreak/>
        <w:t xml:space="preserve">h. Auditor of </w:t>
      </w:r>
      <w:r w:rsidRPr="00120F97">
        <w:rPr>
          <w:lang w:val="en-US"/>
        </w:rPr>
        <w:t>Auditing Organization/Entity</w:t>
      </w:r>
      <w:r w:rsidRPr="00120F97">
        <w:t xml:space="preserve"> shall ensure that the evidence are comprehensively stated with the observations made in the report. Auditors shall provide appropriate description of evidence verified for each standard/guideline. </w:t>
      </w:r>
    </w:p>
    <w:p w14:paraId="2AB6826C" w14:textId="77777777" w:rsidR="00120F97" w:rsidRPr="00120F97" w:rsidRDefault="00120F97" w:rsidP="00120F97">
      <w:proofErr w:type="spellStart"/>
      <w:r w:rsidRPr="00120F97">
        <w:t>i</w:t>
      </w:r>
      <w:proofErr w:type="spellEnd"/>
      <w:r w:rsidRPr="00120F97">
        <w:t xml:space="preserve">. The risk-rating category (critical/ high/ medium/ low) shall be presented clearly in the audit observations. </w:t>
      </w:r>
    </w:p>
    <w:p w14:paraId="36B638F5" w14:textId="77777777" w:rsidR="00120F97" w:rsidRPr="00120F97" w:rsidRDefault="00120F97" w:rsidP="00120F97">
      <w:r w:rsidRPr="00120F97">
        <w:t xml:space="preserve">j. Auditor of </w:t>
      </w:r>
      <w:r w:rsidRPr="00120F97">
        <w:rPr>
          <w:lang w:val="en-US"/>
        </w:rPr>
        <w:t>Auditing Organization/Entity</w:t>
      </w:r>
      <w:r w:rsidRPr="00120F97">
        <w:t xml:space="preserve"> shall compulsorily give their recommendations and suggestions to mitigate critical and high observations made in the report for the consideration of the REs. REs shall examine these recommendations and take it to their respective </w:t>
      </w:r>
      <w:r w:rsidRPr="00120F97">
        <w:rPr>
          <w:i/>
          <w:iCs/>
        </w:rPr>
        <w:t xml:space="preserve">IT committee for REs </w:t>
      </w:r>
      <w:r w:rsidRPr="00120F97">
        <w:t xml:space="preserve">for remediation. </w:t>
      </w:r>
    </w:p>
    <w:p w14:paraId="07B3F309" w14:textId="77777777" w:rsidR="00120F97" w:rsidRPr="00120F97" w:rsidRDefault="00120F97" w:rsidP="00120F97">
      <w:r w:rsidRPr="00120F97">
        <w:t xml:space="preserve">k. REs shall securely store the evidence provided by the auditor. This evidence may be scrutinized during regulatory inspections/investigations. </w:t>
      </w:r>
    </w:p>
    <w:p w14:paraId="1D7F668E" w14:textId="77777777" w:rsidR="00120F97" w:rsidRPr="00120F97" w:rsidRDefault="00120F97" w:rsidP="00120F97">
      <w:r w:rsidRPr="00120F97">
        <w:t xml:space="preserve">l. Auditor of </w:t>
      </w:r>
      <w:r w:rsidRPr="00120F97">
        <w:rPr>
          <w:lang w:val="en-US"/>
        </w:rPr>
        <w:t>Auditing Organization/Entity</w:t>
      </w:r>
      <w:r w:rsidRPr="00120F97">
        <w:t xml:space="preserve"> shall verify the closure of previous audit observations and mention the status of the same in the audit report. </w:t>
      </w:r>
    </w:p>
    <w:p w14:paraId="3B8E1799" w14:textId="77777777" w:rsidR="00120F97" w:rsidRPr="00120F97" w:rsidRDefault="00120F97" w:rsidP="00120F97">
      <w:r w:rsidRPr="00120F97">
        <w:t xml:space="preserve">m. If any observation is repeated from the previous audit, auditor of </w:t>
      </w:r>
      <w:r w:rsidRPr="00120F97">
        <w:rPr>
          <w:lang w:val="en-US"/>
        </w:rPr>
        <w:t>Auditing Organization/Entity</w:t>
      </w:r>
      <w:r w:rsidRPr="00120F97">
        <w:t xml:space="preserve"> shall clearly mention them as repeat observation. </w:t>
      </w:r>
    </w:p>
    <w:p w14:paraId="552C2365" w14:textId="77777777" w:rsidR="00120F97" w:rsidRPr="00120F97" w:rsidRDefault="00120F97" w:rsidP="00120F97">
      <w:r w:rsidRPr="00120F97">
        <w:t xml:space="preserve">n. Auditor’s report(s) shall include assessment of identification of assets as critical/ non-critical. </w:t>
      </w:r>
    </w:p>
    <w:p w14:paraId="1956B93A" w14:textId="77777777" w:rsidR="00120F97" w:rsidRPr="00120F97" w:rsidRDefault="00120F97" w:rsidP="00120F97">
      <w:r w:rsidRPr="00120F97">
        <w:t xml:space="preserve">o. Auditor’s report(s) shall be accompanied by the auditor’s certificate for adhering to the above-mentioned points. </w:t>
      </w:r>
    </w:p>
    <w:p w14:paraId="64E0CCAA" w14:textId="77777777" w:rsidR="00120F97" w:rsidRPr="00120F97" w:rsidRDefault="00120F97" w:rsidP="00120F97">
      <w:pPr>
        <w:rPr>
          <w:b/>
          <w:bCs/>
          <w:lang w:val="en-US"/>
        </w:rPr>
      </w:pPr>
    </w:p>
    <w:p w14:paraId="1F1888C6" w14:textId="77777777" w:rsidR="00120F97" w:rsidRPr="00120F97" w:rsidRDefault="00120F97" w:rsidP="00120F97">
      <w:pPr>
        <w:rPr>
          <w:b/>
          <w:bCs/>
          <w:lang w:val="en-US"/>
        </w:rPr>
      </w:pPr>
      <w:r w:rsidRPr="00120F97">
        <w:rPr>
          <w:b/>
          <w:bCs/>
          <w:lang w:val="en-US"/>
        </w:rPr>
        <w:t xml:space="preserve">3. Other recommended references: </w:t>
      </w:r>
    </w:p>
    <w:p w14:paraId="70E83A45" w14:textId="7785A45E" w:rsidR="00391CF8" w:rsidRDefault="00120F97" w:rsidP="00120F97">
      <w:pPr>
        <w:rPr>
          <w:lang w:val="en-US"/>
        </w:rPr>
      </w:pPr>
      <w:r w:rsidRPr="00120F97">
        <w:rPr>
          <w:lang w:val="en-US"/>
        </w:rPr>
        <w:t xml:space="preserve">a. IT Security Auditing Guidelines in.org.in/PDF/guideline_auditee.pdf for REs: </w:t>
      </w:r>
      <w:hyperlink r:id="rId7" w:history="1">
        <w:r w:rsidR="00391CF8" w:rsidRPr="00B1689D">
          <w:rPr>
            <w:rStyle w:val="Hyperlink"/>
            <w:lang w:val="en-US"/>
          </w:rPr>
          <w:t>https://www.cert-in.org.in/PDF/guideline_auditee.pdf</w:t>
        </w:r>
      </w:hyperlink>
    </w:p>
    <w:p w14:paraId="46FA1C44" w14:textId="77777777" w:rsidR="00120F97" w:rsidRPr="00120F97" w:rsidRDefault="00120F97" w:rsidP="00120F97">
      <w:pPr>
        <w:rPr>
          <w:lang w:val="en-US"/>
        </w:rPr>
      </w:pPr>
      <w:r w:rsidRPr="00120F97">
        <w:rPr>
          <w:lang w:val="en-US"/>
        </w:rPr>
        <w:t xml:space="preserve">b. Guidelines for CERT-In empaneled Information Security Auditing Organizations: </w:t>
      </w:r>
      <w:hyperlink r:id="rId8" w:history="1">
        <w:r w:rsidRPr="00120F97">
          <w:rPr>
            <w:rStyle w:val="Hyperlink"/>
            <w:lang w:val="en-US"/>
          </w:rPr>
          <w:t>https://www.cert-in.org.in/PDF/Auditor_Guidelines.pdf</w:t>
        </w:r>
      </w:hyperlink>
    </w:p>
    <w:p w14:paraId="17D44271" w14:textId="77777777" w:rsidR="00006646" w:rsidRDefault="00006646"/>
    <w:sectPr w:rsidR="00006646">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8B8A8" w14:textId="77777777" w:rsidR="002E5D72" w:rsidRDefault="002E5D72" w:rsidP="00120F97">
      <w:pPr>
        <w:spacing w:after="0" w:line="240" w:lineRule="auto"/>
      </w:pPr>
      <w:r>
        <w:separator/>
      </w:r>
    </w:p>
  </w:endnote>
  <w:endnote w:type="continuationSeparator" w:id="0">
    <w:p w14:paraId="15E303CB" w14:textId="77777777" w:rsidR="002E5D72" w:rsidRDefault="002E5D72" w:rsidP="00120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D3D2" w14:textId="77777777" w:rsidR="002E5D72" w:rsidRDefault="002E5D72" w:rsidP="00120F97">
      <w:pPr>
        <w:spacing w:after="0" w:line="240" w:lineRule="auto"/>
      </w:pPr>
      <w:r>
        <w:separator/>
      </w:r>
    </w:p>
  </w:footnote>
  <w:footnote w:type="continuationSeparator" w:id="0">
    <w:p w14:paraId="0B7726F6" w14:textId="77777777" w:rsidR="002E5D72" w:rsidRDefault="002E5D72" w:rsidP="00120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36A9" w14:textId="3CA5504A" w:rsidR="00120F97" w:rsidRPr="00120F97" w:rsidRDefault="00120F97" w:rsidP="006F0850">
    <w:pPr>
      <w:pStyle w:val="Header"/>
      <w:jc w:val="right"/>
      <w:rPr>
        <w:b/>
        <w:bCs/>
        <w:lang w:val="en-US"/>
      </w:rPr>
    </w:pPr>
    <w:r w:rsidRPr="00120F97">
      <w:rPr>
        <w:b/>
        <w:bCs/>
        <w:lang w:val="en-US"/>
      </w:rPr>
      <w:t>Annexure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AFF4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93492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302"/>
    <w:rsid w:val="00006646"/>
    <w:rsid w:val="00050302"/>
    <w:rsid w:val="000E4DCE"/>
    <w:rsid w:val="00120F97"/>
    <w:rsid w:val="002D009A"/>
    <w:rsid w:val="002E5D72"/>
    <w:rsid w:val="00391CF8"/>
    <w:rsid w:val="006F0850"/>
    <w:rsid w:val="008C51B2"/>
    <w:rsid w:val="00AB09B3"/>
    <w:rsid w:val="00C709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F362A"/>
  <w15:chartTrackingRefBased/>
  <w15:docId w15:val="{41A15DBF-69DA-4D9F-AB2B-A04F16CD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03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03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03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03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03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03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03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03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03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3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03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03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03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03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03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03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03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0302"/>
    <w:rPr>
      <w:rFonts w:eastAsiaTheme="majorEastAsia" w:cstheme="majorBidi"/>
      <w:color w:val="272727" w:themeColor="text1" w:themeTint="D8"/>
    </w:rPr>
  </w:style>
  <w:style w:type="paragraph" w:styleId="Title">
    <w:name w:val="Title"/>
    <w:basedOn w:val="Normal"/>
    <w:next w:val="Normal"/>
    <w:link w:val="TitleChar"/>
    <w:uiPriority w:val="10"/>
    <w:qFormat/>
    <w:rsid w:val="000503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3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3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3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0302"/>
    <w:pPr>
      <w:spacing w:before="160"/>
      <w:jc w:val="center"/>
    </w:pPr>
    <w:rPr>
      <w:i/>
      <w:iCs/>
      <w:color w:val="404040" w:themeColor="text1" w:themeTint="BF"/>
    </w:rPr>
  </w:style>
  <w:style w:type="character" w:customStyle="1" w:styleId="QuoteChar">
    <w:name w:val="Quote Char"/>
    <w:basedOn w:val="DefaultParagraphFont"/>
    <w:link w:val="Quote"/>
    <w:uiPriority w:val="29"/>
    <w:rsid w:val="00050302"/>
    <w:rPr>
      <w:i/>
      <w:iCs/>
      <w:color w:val="404040" w:themeColor="text1" w:themeTint="BF"/>
    </w:rPr>
  </w:style>
  <w:style w:type="paragraph" w:styleId="ListParagraph">
    <w:name w:val="List Paragraph"/>
    <w:basedOn w:val="Normal"/>
    <w:uiPriority w:val="34"/>
    <w:qFormat/>
    <w:rsid w:val="00050302"/>
    <w:pPr>
      <w:ind w:left="720"/>
      <w:contextualSpacing/>
    </w:pPr>
  </w:style>
  <w:style w:type="character" w:styleId="IntenseEmphasis">
    <w:name w:val="Intense Emphasis"/>
    <w:basedOn w:val="DefaultParagraphFont"/>
    <w:uiPriority w:val="21"/>
    <w:qFormat/>
    <w:rsid w:val="00050302"/>
    <w:rPr>
      <w:i/>
      <w:iCs/>
      <w:color w:val="0F4761" w:themeColor="accent1" w:themeShade="BF"/>
    </w:rPr>
  </w:style>
  <w:style w:type="paragraph" w:styleId="IntenseQuote">
    <w:name w:val="Intense Quote"/>
    <w:basedOn w:val="Normal"/>
    <w:next w:val="Normal"/>
    <w:link w:val="IntenseQuoteChar"/>
    <w:uiPriority w:val="30"/>
    <w:qFormat/>
    <w:rsid w:val="000503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0302"/>
    <w:rPr>
      <w:i/>
      <w:iCs/>
      <w:color w:val="0F4761" w:themeColor="accent1" w:themeShade="BF"/>
    </w:rPr>
  </w:style>
  <w:style w:type="character" w:styleId="IntenseReference">
    <w:name w:val="Intense Reference"/>
    <w:basedOn w:val="DefaultParagraphFont"/>
    <w:uiPriority w:val="32"/>
    <w:qFormat/>
    <w:rsid w:val="00050302"/>
    <w:rPr>
      <w:b/>
      <w:bCs/>
      <w:smallCaps/>
      <w:color w:val="0F4761" w:themeColor="accent1" w:themeShade="BF"/>
      <w:spacing w:val="5"/>
    </w:rPr>
  </w:style>
  <w:style w:type="character" w:styleId="Hyperlink">
    <w:name w:val="Hyperlink"/>
    <w:basedOn w:val="DefaultParagraphFont"/>
    <w:uiPriority w:val="99"/>
    <w:unhideWhenUsed/>
    <w:rsid w:val="00120F97"/>
    <w:rPr>
      <w:color w:val="467886" w:themeColor="hyperlink"/>
      <w:u w:val="single"/>
    </w:rPr>
  </w:style>
  <w:style w:type="character" w:styleId="UnresolvedMention">
    <w:name w:val="Unresolved Mention"/>
    <w:basedOn w:val="DefaultParagraphFont"/>
    <w:uiPriority w:val="99"/>
    <w:semiHidden/>
    <w:unhideWhenUsed/>
    <w:rsid w:val="00120F97"/>
    <w:rPr>
      <w:color w:val="605E5C"/>
      <w:shd w:val="clear" w:color="auto" w:fill="E1DFDD"/>
    </w:rPr>
  </w:style>
  <w:style w:type="paragraph" w:styleId="Header">
    <w:name w:val="header"/>
    <w:basedOn w:val="Normal"/>
    <w:link w:val="HeaderChar"/>
    <w:uiPriority w:val="99"/>
    <w:unhideWhenUsed/>
    <w:rsid w:val="00120F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0F97"/>
  </w:style>
  <w:style w:type="paragraph" w:styleId="Footer">
    <w:name w:val="footer"/>
    <w:basedOn w:val="Normal"/>
    <w:link w:val="FooterChar"/>
    <w:uiPriority w:val="99"/>
    <w:unhideWhenUsed/>
    <w:rsid w:val="00120F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0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rt-in.org.in/PDF/Auditor_Guidelines.pdf" TargetMode="External"/><Relationship Id="rId3" Type="http://schemas.openxmlformats.org/officeDocument/2006/relationships/settings" Target="settings.xml"/><Relationship Id="rId7" Type="http://schemas.openxmlformats.org/officeDocument/2006/relationships/hyperlink" Target="https://www.cert-in.org.in/PDF/guideline_audite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964</Words>
  <Characters>5499</Characters>
  <Application>Microsoft Office Word</Application>
  <DocSecurity>0</DocSecurity>
  <Lines>45</Lines>
  <Paragraphs>12</Paragraphs>
  <ScaleCrop>false</ScaleCrop>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Supragya Chauhan/MSE/Regulatory Services</dc:creator>
  <cp:keywords/>
  <dc:description/>
  <cp:lastModifiedBy>Sunil Shendge/MSE/Regulatory Services</cp:lastModifiedBy>
  <cp:revision>7</cp:revision>
  <dcterms:created xsi:type="dcterms:W3CDTF">2025-11-13T09:32:00Z</dcterms:created>
  <dcterms:modified xsi:type="dcterms:W3CDTF">2025-11-13T14:30:00Z</dcterms:modified>
</cp:coreProperties>
</file>